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396" w:rsidRPr="00A14483" w:rsidRDefault="005C1396" w:rsidP="005C1396">
      <w:pPr>
        <w:rPr>
          <w:lang w:val="en-US"/>
        </w:rPr>
      </w:pPr>
    </w:p>
    <w:tbl>
      <w:tblPr>
        <w:tblStyle w:val="a3"/>
        <w:tblW w:w="9936" w:type="dxa"/>
        <w:jc w:val="center"/>
        <w:tblLook w:val="04A0"/>
      </w:tblPr>
      <w:tblGrid>
        <w:gridCol w:w="2550"/>
        <w:gridCol w:w="3558"/>
        <w:gridCol w:w="3828"/>
      </w:tblGrid>
      <w:tr w:rsidR="005C1396" w:rsidRPr="00A14483" w:rsidTr="00426E8E">
        <w:trPr>
          <w:trHeight w:val="677"/>
          <w:jc w:val="center"/>
        </w:trPr>
        <w:tc>
          <w:tcPr>
            <w:tcW w:w="9936" w:type="dxa"/>
            <w:gridSpan w:val="3"/>
            <w:shd w:val="clear" w:color="auto" w:fill="C00000"/>
            <w:noWrap/>
            <w:hideMark/>
          </w:tcPr>
          <w:p w:rsidR="005C1396" w:rsidRDefault="005C1396" w:rsidP="00426E8E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 xml:space="preserve">ΣΥΓΚΕΝΤΡΩΤΙΚΟΣ ΠΙΝΑΚΑΣ ΘΕΣΕΩΝ ΑΝΑ ΕΙΔΙΚΟΤΗΤΑ </w:t>
            </w:r>
          </w:p>
          <w:p w:rsidR="005C1396" w:rsidRDefault="005C1396" w:rsidP="00426E8E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 xml:space="preserve">ΠΟΥ ΘΑ ΧΑΘΟΥΝ ΣΤΗ Δ/ΝΣΗ Π.Ε.  </w:t>
            </w:r>
            <w:r w:rsidRPr="00BE5E02"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>ΑΝΑΤΟΛΙΚΗΣ ΑΤΤΙΚΗΣ</w:t>
            </w:r>
          </w:p>
          <w:p w:rsidR="005C1396" w:rsidRPr="00BE5E02" w:rsidRDefault="005C1396" w:rsidP="00426E8E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el-GR"/>
              </w:rPr>
              <w:t xml:space="preserve">ΤΟ ΣΧΟΛΙΚΟ ΕΤΟΣ 2020-2021 ΜΕ ΤΗΝ ΕΦΑΡΜΟΓΗ ΤΟΥ ΠΟΛΥΝΟΜΟΣΧΕΔΙΟΥ </w:t>
            </w:r>
          </w:p>
        </w:tc>
      </w:tr>
      <w:tr w:rsidR="005C1396" w:rsidRPr="00A14483" w:rsidTr="00426E8E">
        <w:trPr>
          <w:trHeight w:val="677"/>
          <w:jc w:val="center"/>
        </w:trPr>
        <w:tc>
          <w:tcPr>
            <w:tcW w:w="2550" w:type="dxa"/>
            <w:shd w:val="clear" w:color="auto" w:fill="DDD9C3" w:themeFill="background2" w:themeFillShade="E6"/>
            <w:noWrap/>
            <w:hideMark/>
          </w:tcPr>
          <w:p w:rsidR="005C1396" w:rsidRPr="00A14483" w:rsidRDefault="005C1396" w:rsidP="00426E8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ΕΙΔΙΚΟΤΗΤΕΣ</w:t>
            </w:r>
          </w:p>
        </w:tc>
        <w:tc>
          <w:tcPr>
            <w:tcW w:w="3558" w:type="dxa"/>
            <w:shd w:val="clear" w:color="auto" w:fill="DDD9C3" w:themeFill="background2" w:themeFillShade="E6"/>
            <w:hideMark/>
          </w:tcPr>
          <w:p w:rsidR="005C1396" w:rsidRDefault="005C1396" w:rsidP="00426E8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ΑΡΙΘΜΟΣ 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ΘΕΣΕΩΝ </w:t>
            </w: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ΕΚ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ΠΑΙΔΕΥΤΙ</w:t>
            </w: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ΚΩΝ ΠΟΥ ΧΑΝΟΝΤΑΙ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ΜΕ </w:t>
            </w:r>
          </w:p>
          <w:p w:rsidR="005C1396" w:rsidRPr="00A14483" w:rsidRDefault="005C1396" w:rsidP="00426E8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24 ΜΑΘΗΤΕΣ ΑΝΑ ΤΜΗΜΑ</w:t>
            </w:r>
          </w:p>
        </w:tc>
        <w:tc>
          <w:tcPr>
            <w:tcW w:w="3828" w:type="dxa"/>
            <w:shd w:val="clear" w:color="auto" w:fill="DDD9C3" w:themeFill="background2" w:themeFillShade="E6"/>
            <w:hideMark/>
          </w:tcPr>
          <w:p w:rsidR="005C1396" w:rsidRDefault="005C1396" w:rsidP="00426E8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ΑΡΙΘΜΟΣ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ΘΕΣΕΩΝ  ΕΚΠΑΙΔΕΥΤΙ</w:t>
            </w: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ΚΩΝ ΠΟΥ ΧΑΝΟΝΤΑΙ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ΜΕ </w:t>
            </w:r>
          </w:p>
          <w:p w:rsidR="005C1396" w:rsidRPr="00A14483" w:rsidRDefault="005C1396" w:rsidP="00426E8E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26 ΜΑΘΗΤΕΣ ΑΝΑ ΤΜΗΜΑ</w:t>
            </w:r>
          </w:p>
        </w:tc>
      </w:tr>
      <w:tr w:rsidR="005C1396" w:rsidRPr="00A14483" w:rsidTr="00426E8E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5C1396" w:rsidRPr="00E1034C" w:rsidRDefault="005C1396" w:rsidP="00426E8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ΔΑΣΚΑΛΟΙ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5C1396" w:rsidRPr="002B3A78" w:rsidRDefault="005C1396" w:rsidP="00426E8E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  <w:r>
              <w:rPr>
                <w:rFonts w:eastAsia="Times New Roman" w:cstheme="minorHAnsi"/>
                <w:color w:val="000000"/>
                <w:lang w:val="en-US" w:eastAsia="el-GR"/>
              </w:rPr>
              <w:t>1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5C1396" w:rsidRPr="002B3A78" w:rsidRDefault="005C1396" w:rsidP="00426E8E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color w:val="000000"/>
                <w:lang w:val="en-US" w:eastAsia="el-GR"/>
              </w:rPr>
              <w:t>63</w:t>
            </w:r>
          </w:p>
        </w:tc>
      </w:tr>
      <w:tr w:rsidR="005C1396" w:rsidRPr="00A14483" w:rsidTr="00426E8E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5C1396" w:rsidRPr="00E1034C" w:rsidRDefault="005C1396" w:rsidP="00426E8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ΝΗΠΙΑΓΩΓΟΙ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5C1396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57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5C1396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77</w:t>
            </w:r>
          </w:p>
        </w:tc>
      </w:tr>
      <w:tr w:rsidR="005C1396" w:rsidRPr="00A14483" w:rsidTr="00426E8E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5C1396" w:rsidRPr="00E1034C" w:rsidRDefault="005C1396" w:rsidP="00426E8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ΑΓΓΛΙΚΑ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5C1396" w:rsidRPr="00A14483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5C1396" w:rsidRPr="00A14483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11</w:t>
            </w:r>
          </w:p>
        </w:tc>
      </w:tr>
      <w:tr w:rsidR="005C1396" w:rsidRPr="00A14483" w:rsidTr="00426E8E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5C1396" w:rsidRPr="00E1034C" w:rsidRDefault="005C1396" w:rsidP="00426E8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ΓΥΜΝΑΣΤΙΚΗ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5C1396" w:rsidRPr="00A14483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8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5C1396" w:rsidRPr="00A14483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9</w:t>
            </w:r>
          </w:p>
        </w:tc>
      </w:tr>
      <w:tr w:rsidR="005C1396" w:rsidRPr="00A14483" w:rsidTr="00426E8E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5C1396" w:rsidRPr="00E1034C" w:rsidRDefault="005C1396" w:rsidP="00426E8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ΕΙΚΑΣΤΙΚΑ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5C1396" w:rsidRPr="00A14483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5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5C1396" w:rsidRPr="00A14483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7</w:t>
            </w:r>
          </w:p>
        </w:tc>
      </w:tr>
      <w:tr w:rsidR="005C1396" w:rsidRPr="00A14483" w:rsidTr="00426E8E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5C1396" w:rsidRPr="00E1034C" w:rsidRDefault="005C1396" w:rsidP="00426E8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ΜΟΥΣΙΚΗ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5C1396" w:rsidRPr="00A14483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5C1396" w:rsidRPr="00A14483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5C1396" w:rsidRPr="00A14483" w:rsidTr="00426E8E">
        <w:trPr>
          <w:trHeight w:val="315"/>
          <w:jc w:val="center"/>
        </w:trPr>
        <w:tc>
          <w:tcPr>
            <w:tcW w:w="2550" w:type="dxa"/>
            <w:noWrap/>
            <w:hideMark/>
          </w:tcPr>
          <w:p w:rsidR="005C1396" w:rsidRPr="00E1034C" w:rsidRDefault="005C1396" w:rsidP="00426E8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Θ. ΑΓΩΓΗ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5C1396" w:rsidRPr="00A14483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5C1396" w:rsidRPr="00A14483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5C1396" w:rsidRPr="00A14483" w:rsidTr="00426E8E">
        <w:trPr>
          <w:trHeight w:val="330"/>
          <w:jc w:val="center"/>
        </w:trPr>
        <w:tc>
          <w:tcPr>
            <w:tcW w:w="2550" w:type="dxa"/>
            <w:noWrap/>
            <w:hideMark/>
          </w:tcPr>
          <w:p w:rsidR="005C1396" w:rsidRPr="00E1034C" w:rsidRDefault="005C1396" w:rsidP="00426E8E">
            <w:pPr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</w:pPr>
            <w:r w:rsidRPr="00E1034C">
              <w:rPr>
                <w:rFonts w:eastAsia="Times New Roman" w:cstheme="minorHAnsi"/>
                <w:b/>
                <w:color w:val="000000"/>
                <w:sz w:val="24"/>
                <w:szCs w:val="24"/>
                <w:lang w:eastAsia="el-GR"/>
              </w:rPr>
              <w:t>ΠΛΗΡΟΦΟΡΙΚΗ</w:t>
            </w:r>
          </w:p>
        </w:tc>
        <w:tc>
          <w:tcPr>
            <w:tcW w:w="3558" w:type="dxa"/>
            <w:shd w:val="clear" w:color="auto" w:fill="FFC000"/>
            <w:noWrap/>
            <w:hideMark/>
          </w:tcPr>
          <w:p w:rsidR="005C1396" w:rsidRPr="00A14483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  <w:tc>
          <w:tcPr>
            <w:tcW w:w="3828" w:type="dxa"/>
            <w:shd w:val="clear" w:color="auto" w:fill="FFC000"/>
            <w:noWrap/>
            <w:hideMark/>
          </w:tcPr>
          <w:p w:rsidR="005C1396" w:rsidRPr="00A14483" w:rsidRDefault="005C1396" w:rsidP="00426E8E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  <w:r>
              <w:rPr>
                <w:rFonts w:eastAsia="Times New Roman" w:cstheme="minorHAnsi"/>
                <w:color w:val="000000"/>
                <w:lang w:eastAsia="el-GR"/>
              </w:rPr>
              <w:t>3</w:t>
            </w:r>
          </w:p>
        </w:tc>
      </w:tr>
      <w:tr w:rsidR="005C1396" w:rsidRPr="00A14483" w:rsidTr="00426E8E">
        <w:trPr>
          <w:trHeight w:val="345"/>
          <w:jc w:val="center"/>
        </w:trPr>
        <w:tc>
          <w:tcPr>
            <w:tcW w:w="2550" w:type="dxa"/>
            <w:shd w:val="clear" w:color="auto" w:fill="FFFF00"/>
            <w:noWrap/>
            <w:hideMark/>
          </w:tcPr>
          <w:p w:rsidR="005C1396" w:rsidRPr="00A14483" w:rsidRDefault="005C1396" w:rsidP="00426E8E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A14483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ΣΥΝΟΛΟ</w:t>
            </w: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 xml:space="preserve"> ΕΚΠΑΙΔΕΥΤΙΚΩΝ</w:t>
            </w:r>
          </w:p>
        </w:tc>
        <w:tc>
          <w:tcPr>
            <w:tcW w:w="3558" w:type="dxa"/>
            <w:shd w:val="clear" w:color="auto" w:fill="FFFF00"/>
            <w:noWrap/>
            <w:hideMark/>
          </w:tcPr>
          <w:p w:rsidR="005C1396" w:rsidRPr="002B3A78" w:rsidRDefault="005C1396" w:rsidP="00426E8E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  <w:t>38</w:t>
            </w:r>
          </w:p>
        </w:tc>
        <w:tc>
          <w:tcPr>
            <w:tcW w:w="3828" w:type="dxa"/>
            <w:shd w:val="clear" w:color="auto" w:fill="FFFF00"/>
            <w:noWrap/>
            <w:hideMark/>
          </w:tcPr>
          <w:p w:rsidR="005C1396" w:rsidRPr="002B3A78" w:rsidRDefault="005C1396" w:rsidP="00426E8E">
            <w:pPr>
              <w:jc w:val="right"/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17</w:t>
            </w:r>
            <w:r>
              <w:rPr>
                <w:rFonts w:eastAsia="Times New Roman" w:cstheme="minorHAnsi"/>
                <w:b/>
                <w:bCs/>
                <w:color w:val="000000"/>
                <w:lang w:val="en-US" w:eastAsia="el-GR"/>
              </w:rPr>
              <w:t>6</w:t>
            </w:r>
          </w:p>
        </w:tc>
      </w:tr>
    </w:tbl>
    <w:p w:rsidR="005C1396" w:rsidRDefault="005C1396" w:rsidP="005C1396">
      <w:pPr>
        <w:jc w:val="both"/>
        <w:rPr>
          <w:sz w:val="24"/>
          <w:szCs w:val="24"/>
        </w:rPr>
      </w:pPr>
    </w:p>
    <w:p w:rsidR="005C1396" w:rsidRPr="00A4629E" w:rsidRDefault="005C1396" w:rsidP="005C1396">
      <w:pPr>
        <w:jc w:val="both"/>
        <w:rPr>
          <w:sz w:val="24"/>
          <w:szCs w:val="24"/>
        </w:rPr>
      </w:pPr>
      <w:r w:rsidRPr="00B4292F">
        <w:rPr>
          <w:b/>
          <w:i/>
          <w:sz w:val="20"/>
          <w:szCs w:val="20"/>
        </w:rPr>
        <w:t>Παρατήρηση :</w:t>
      </w:r>
      <w:r w:rsidRPr="0052239E">
        <w:rPr>
          <w:i/>
          <w:sz w:val="20"/>
          <w:szCs w:val="20"/>
        </w:rPr>
        <w:t xml:space="preserve"> Ο αριθμός  μείωσης των θέσεων εκπαιδευτικών υπολογίστηκε λαμβάνοντας</w:t>
      </w:r>
      <w:r>
        <w:rPr>
          <w:i/>
          <w:sz w:val="20"/>
          <w:szCs w:val="20"/>
        </w:rPr>
        <w:t xml:space="preserve"> υπόψη </w:t>
      </w:r>
      <w:r w:rsidRPr="0052239E">
        <w:rPr>
          <w:i/>
          <w:sz w:val="20"/>
          <w:szCs w:val="20"/>
        </w:rPr>
        <w:t xml:space="preserve"> το «σενάριο» ότι ή αύξηση των μαθητών ανά τμήμα για το σχολικό έτος 2020-21 θα υλοποιηθεί μόν</w:t>
      </w:r>
      <w:r>
        <w:rPr>
          <w:i/>
          <w:sz w:val="20"/>
          <w:szCs w:val="20"/>
        </w:rPr>
        <w:t>ο</w:t>
      </w:r>
      <w:r w:rsidRPr="0052239E">
        <w:rPr>
          <w:i/>
          <w:sz w:val="20"/>
          <w:szCs w:val="20"/>
        </w:rPr>
        <w:t xml:space="preserve"> για τα νηπιαγωγεία και για την Α΄</w:t>
      </w:r>
      <w:r>
        <w:rPr>
          <w:i/>
          <w:sz w:val="20"/>
          <w:szCs w:val="20"/>
        </w:rPr>
        <w:t xml:space="preserve"> </w:t>
      </w:r>
      <w:r w:rsidRPr="0052239E">
        <w:rPr>
          <w:i/>
          <w:sz w:val="20"/>
          <w:szCs w:val="20"/>
        </w:rPr>
        <w:t>Δημο</w:t>
      </w:r>
      <w:r>
        <w:rPr>
          <w:i/>
          <w:sz w:val="20"/>
          <w:szCs w:val="20"/>
        </w:rPr>
        <w:t>τ</w:t>
      </w:r>
      <w:r w:rsidRPr="0052239E">
        <w:rPr>
          <w:i/>
          <w:sz w:val="20"/>
          <w:szCs w:val="20"/>
        </w:rPr>
        <w:t>ικού ( κάτι που δεν προβλέπεται ξεκάθαρα από το άρθρο του πολυνομοσχεδίου). Μας τρομάζει η ιδέα της καθολικής εφαρμογής του μέτρου σε όλα τα τμήματα από το επόμενο σχολικό έτος. Τότε θα μιλάμε για πενταπλάσιες και εξαπλάσιες θέσεις που θα χαθούν. Βέβαια</w:t>
      </w:r>
      <w:r>
        <w:rPr>
          <w:i/>
          <w:sz w:val="20"/>
          <w:szCs w:val="20"/>
        </w:rPr>
        <w:t xml:space="preserve">, σε διαφορετική περίπτωση, </w:t>
      </w:r>
      <w:r w:rsidRPr="0052239E">
        <w:rPr>
          <w:i/>
          <w:sz w:val="20"/>
          <w:szCs w:val="20"/>
        </w:rPr>
        <w:t xml:space="preserve"> αυτό </w:t>
      </w:r>
      <w:r>
        <w:rPr>
          <w:i/>
          <w:sz w:val="20"/>
          <w:szCs w:val="20"/>
        </w:rPr>
        <w:t xml:space="preserve">και πάλι </w:t>
      </w:r>
      <w:r w:rsidRPr="0052239E">
        <w:rPr>
          <w:i/>
          <w:sz w:val="20"/>
          <w:szCs w:val="20"/>
        </w:rPr>
        <w:t>θα γίνει έτσι κι αλλιώς σε βάθος πενταετίας.</w:t>
      </w:r>
    </w:p>
    <w:p w:rsidR="005C1396" w:rsidRDefault="005C1396" w:rsidP="005C1396">
      <w:pPr>
        <w:rPr>
          <w:sz w:val="24"/>
          <w:szCs w:val="24"/>
          <w:u w:val="single"/>
        </w:rPr>
      </w:pPr>
    </w:p>
    <w:p w:rsidR="00307DD3" w:rsidRDefault="00307DD3"/>
    <w:sectPr w:rsidR="00307DD3" w:rsidSect="005C1396">
      <w:pgSz w:w="11906" w:h="16838"/>
      <w:pgMar w:top="1440" w:right="566" w:bottom="144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C1396"/>
    <w:rsid w:val="00207A8E"/>
    <w:rsid w:val="00307DD3"/>
    <w:rsid w:val="005C1396"/>
    <w:rsid w:val="0089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3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</dc:creator>
  <cp:keywords/>
  <dc:description/>
  <cp:lastModifiedBy>Kostas</cp:lastModifiedBy>
  <cp:revision>2</cp:revision>
  <dcterms:created xsi:type="dcterms:W3CDTF">2020-05-11T18:30:00Z</dcterms:created>
  <dcterms:modified xsi:type="dcterms:W3CDTF">2020-05-11T18:31:00Z</dcterms:modified>
</cp:coreProperties>
</file>